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cession de droits d’auteur gratuit</w:t>
      </w:r>
    </w:p>
    <w:p>
      <w:r>
        <w:rPr>
          <w:b/>
          <w:i w:val="0"/>
          <w:color w:val="0B2D57"/>
        </w:rPr>
        <w:t>Version complète — France — clauses renforcées et annexes à adapter</w:t>
      </w:r>
    </w:p>
    <w:p>
      <w:r>
        <w:rPr>
          <w:b w:val="0"/>
          <w:i/>
        </w:rPr>
        <w:t>Utiliser pour transférer des droits d’exploitation sur une création avec périmètre précis.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Cession de droits d’auteur</w:t>
            </w:r>
          </w:p>
        </w:tc>
      </w:tr>
      <w:tr>
        <w:tc>
          <w:tcPr>
            <w:tcW w:type="dxa" w:w="5112"/>
            <w:vAlign w:val="center"/>
            <w:shd w:fill="EEF4FF"/>
          </w:tcPr>
          <w:p>
            <w:r>
              <w:t>Utilisation prévue</w:t>
            </w:r>
          </w:p>
        </w:tc>
        <w:tc>
          <w:tcPr>
            <w:tcW w:type="dxa" w:w="5112"/>
            <w:vAlign w:val="center"/>
          </w:tcPr>
          <w:p>
            <w:r>
              <w:t>Utiliser pour transférer des droits d’exploitation sur une création avec périmètre précis.</w:t>
            </w:r>
          </w:p>
        </w:tc>
      </w:tr>
      <w:tr>
        <w:tc>
          <w:tcPr>
            <w:tcW w:type="dxa" w:w="5112"/>
            <w:vAlign w:val="center"/>
            <w:shd w:fill="EEF4FF"/>
          </w:tcPr>
          <w:p>
            <w:r>
              <w:t>À éviter</w:t>
            </w:r>
          </w:p>
        </w:tc>
        <w:tc>
          <w:tcPr>
            <w:tcW w:type="dxa" w:w="5112"/>
            <w:vAlign w:val="center"/>
          </w:tcPr>
          <w:p>
            <w:r>
              <w:t>À éviter sans préciser droits cédés, durée, territoire, supports et rémunération.</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Cession de droits d’auteur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Client et prestataire : ne pas laisser vide ; indiquer “sans objet” si le point ne concerne pas le dossier.</w:t>
      </w:r>
    </w:p>
    <w:p>
      <w:pPr>
        <w:pStyle w:val="ListBullet"/>
      </w:pPr>
      <w:r>
        <w:t>Objet de la mission : ne pas laisser vide ; indiquer “sans objet” si le point ne concerne pas le dossier.</w:t>
      </w:r>
    </w:p>
    <w:p>
      <w:pPr>
        <w:pStyle w:val="ListBullet"/>
      </w:pPr>
      <w:r>
        <w:t>Livrables attendus : ne pas laisser vide ; indiquer “sans objet” si le point ne concerne pas le dossier.</w:t>
      </w:r>
    </w:p>
    <w:p>
      <w:pPr>
        <w:pStyle w:val="ListBullet"/>
      </w:pPr>
      <w:r>
        <w:t>Planning et jalons : ne pas laisser vide ; indiquer “sans objet” si le point ne concerne pas le dossier.</w:t>
      </w:r>
    </w:p>
    <w:p>
      <w:pPr>
        <w:pStyle w:val="ListBullet"/>
      </w:pPr>
      <w:r>
        <w:t>Prix et paiement : ne pas laisser vide ; indiquer “sans objet” si le point ne concerne pas le dossier.</w:t>
      </w:r>
    </w:p>
    <w:p>
      <w:pPr>
        <w:pStyle w:val="ListBullet"/>
      </w:pPr>
      <w:r>
        <w:t>Confidentialité : ne pas laisser vide ; indiquer “sans objet” si le point ne concerne pas le dossier.</w:t>
      </w:r>
    </w:p>
    <w:p>
      <w:pPr>
        <w:pStyle w:val="ListBullet"/>
      </w:pPr>
      <w:r>
        <w:t>Propriété intellectuelle : ne pas laisser vide ; indiquer “sans objet” si le point ne concerne pas le dossier.</w:t>
      </w:r>
    </w:p>
    <w:p>
      <w:pPr>
        <w:pStyle w:val="ListBullet"/>
      </w:pPr>
      <w:r>
        <w:t>Responsabilité : ne pas laisser vide ; indiquer “sans objet” si le point ne concerne pas le dossier.</w:t>
      </w:r>
    </w:p>
    <w:p>
      <w:pPr>
        <w:pStyle w:val="ListBullet"/>
      </w:pPr>
      <w:r>
        <w:t>Résiliation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Cession de droits d’auteur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cession de droits d’auteur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