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cahier des charges gratuit</w:t>
      </w:r>
    </w:p>
    <w:p>
      <w:r>
        <w:rPr>
          <w:b/>
          <w:i w:val="0"/>
          <w:color w:val="0B2D57"/>
        </w:rPr>
        <w:t>Version complète — France — clauses renforcées et annexes à adapter</w:t>
      </w:r>
    </w:p>
    <w:p>
      <w:r>
        <w:rPr>
          <w:b w:val="0"/>
          <w:i/>
        </w:rPr>
        <w:t>Décrire les besoins, contraintes et livrables attendus avant un contrat de prestation.</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Cahier des charges</w:t>
            </w:r>
          </w:p>
        </w:tc>
      </w:tr>
      <w:tr>
        <w:tc>
          <w:tcPr>
            <w:tcW w:type="dxa" w:w="5112"/>
            <w:vAlign w:val="center"/>
            <w:shd w:fill="EEF4FF"/>
          </w:tcPr>
          <w:p>
            <w:r>
              <w:t>Utilisation prévue</w:t>
            </w:r>
          </w:p>
        </w:tc>
        <w:tc>
          <w:tcPr>
            <w:tcW w:type="dxa" w:w="5112"/>
            <w:vAlign w:val="center"/>
          </w:tcPr>
          <w:p>
            <w:r>
              <w:t>À utiliser pour cadrer le périmètre fonctionnel, technique, planning, critères d’acceptation et responsabilités.</w:t>
            </w:r>
          </w:p>
        </w:tc>
      </w:tr>
      <w:tr>
        <w:tc>
          <w:tcPr>
            <w:tcW w:type="dxa" w:w="5112"/>
            <w:vAlign w:val="center"/>
            <w:shd w:fill="EEF4FF"/>
          </w:tcPr>
          <w:p>
            <w:r>
              <w:t>À éviter</w:t>
            </w:r>
          </w:p>
        </w:tc>
        <w:tc>
          <w:tcPr>
            <w:tcW w:type="dxa" w:w="5112"/>
            <w:vAlign w:val="center"/>
          </w:tcPr>
          <w:p>
            <w:r>
              <w:t>À éviter s’il remplace le contrat : il doit être relié à des conditions juridiques et commerciales.</w:t>
            </w:r>
          </w:p>
        </w:tc>
      </w:tr>
      <w:tr>
        <w:tc>
          <w:tcPr>
            <w:tcW w:type="dxa" w:w="5112"/>
            <w:vAlign w:val="center"/>
            <w:shd w:fill="EEF4FF"/>
          </w:tcPr>
          <w:p>
            <w:r>
              <w:t>Niveau de risque</w:t>
            </w:r>
          </w:p>
        </w:tc>
        <w:tc>
          <w:tcPr>
            <w:tcW w:type="dxa" w:w="5112"/>
            <w:vAlign w:val="center"/>
          </w:tcPr>
          <w:p>
            <w:r>
              <w:t>moyen</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Définir très précisément le périmètre de « Cahier des charges » : inclus, exclus, livrables, jalons et critères de validation.</w:t>
      </w:r>
    </w:p>
    <w:p>
      <w:pPr>
        <w:pStyle w:val="ListBullet"/>
      </w:pPr>
      <w:r>
        <w:t>Cadrer prix, taxes, acompte, échéances, frais, retard, facturation et conditions de contestation.</w:t>
      </w:r>
    </w:p>
    <w:p>
      <w:pPr>
        <w:pStyle w:val="ListBullet"/>
      </w:pPr>
      <w:r>
        <w:t>Prévoir responsabilité, garanties, assurance, confidentialité, données, propriété intellectuelle et éléments préexistants.</w:t>
      </w:r>
    </w:p>
    <w:p>
      <w:pPr>
        <w:pStyle w:val="ListBullet"/>
      </w:pPr>
      <w:r>
        <w:t>Organiser la fin : résiliation, réversibilité, restitution, paiement du travail réalisé, assistance de sortie et preuves.</w:t>
      </w:r>
    </w:p>
    <w:p>
      <w:pPr>
        <w:pStyle w:val="Heading1"/>
      </w:pPr>
      <w:r>
        <w:rPr>
          <w:b w:val="0"/>
          <w:i w:val="0"/>
        </w:rPr>
        <w:t>B. Pièges à éviter</w:t>
      </w:r>
    </w:p>
    <w:p>
      <w:pPr>
        <w:pStyle w:val="ListBullet"/>
      </w:pPr>
      <w:r>
        <w:t>Livrables, périmètre ou exclusions trop vagues, générant des demandes supplémentaires non prévues.</w:t>
      </w:r>
    </w:p>
    <w:p>
      <w:pPr>
        <w:pStyle w:val="ListBullet"/>
      </w:pPr>
      <w:r>
        <w:t>Prix, paiement, retard, recette ou validation non écrits ou contradictoires avec le devis.</w:t>
      </w:r>
    </w:p>
    <w:p>
      <w:pPr>
        <w:pStyle w:val="ListBullet"/>
      </w:pPr>
      <w:r>
        <w:t>Droits d’auteur, licence, fichiers sources, données ou confidentialité oubliés.</w:t>
      </w:r>
    </w:p>
    <w:p>
      <w:pPr>
        <w:pStyle w:val="ListBullet"/>
      </w:pPr>
      <w:r>
        <w:t>Aucune clause de sortie, restitution, réversibilité ou paiement final.</w:t>
      </w:r>
    </w:p>
    <w:p>
      <w:pPr>
        <w:pStyle w:val="Heading1"/>
      </w:pPr>
      <w:r>
        <w:rPr>
          <w:b w:val="0"/>
          <w:i w:val="0"/>
        </w:rPr>
        <w:t>C. Clauses et informations à adapter</w:t>
      </w:r>
    </w:p>
    <w:p>
      <w:pPr>
        <w:pStyle w:val="ListBullet"/>
      </w:pPr>
      <w:r>
        <w:t>Acceptation : préciser le contenu exact, les limites, les preuves et les conséquences pratiques.</w:t>
      </w:r>
    </w:p>
    <w:p>
      <w:pPr>
        <w:pStyle w:val="ListBullet"/>
      </w:pPr>
      <w:r>
        <w:t>Responsabilité : préciser le contenu exact, les limites, les preuves et les conséquences pratiques.</w:t>
      </w:r>
    </w:p>
    <w:p>
      <w:pPr>
        <w:pStyle w:val="ListBullet"/>
      </w:pPr>
      <w:r>
        <w:t>Délai d’exécution : préciser le contenu exact, les limites, les preuves et les conséquences pratiques.</w:t>
      </w:r>
    </w:p>
    <w:p>
      <w:pPr>
        <w:pStyle w:val="ListBullet"/>
      </w:pPr>
      <w:r>
        <w:t>Propriété intellectuelle : préciser le contenu exact, les limites, les preuves et les conséquences pratiques.</w:t>
      </w:r>
    </w:p>
    <w:p>
      <w:pPr>
        <w:pStyle w:val="ListBullet"/>
      </w:pPr>
      <w:r>
        <w:t>Contexte : ne pas laisser vide ; indiquer “sans objet” si le point ne concerne pas le dossier.</w:t>
      </w:r>
    </w:p>
    <w:p>
      <w:pPr>
        <w:pStyle w:val="ListBullet"/>
      </w:pPr>
      <w:r>
        <w:t>Objectifs : ne pas laisser vide ; indiquer “sans objet” si le point ne concerne pas le dossier.</w:t>
      </w:r>
    </w:p>
    <w:p>
      <w:pPr>
        <w:pStyle w:val="ListBullet"/>
      </w:pPr>
      <w:r>
        <w:t>Périmètre : ne pas laisser vide ; indiquer “sans objet” si le point ne concerne pas le dossier.</w:t>
      </w:r>
    </w:p>
    <w:p>
      <w:pPr>
        <w:pStyle w:val="ListBullet"/>
      </w:pPr>
      <w:r>
        <w:t>Livrables : ne pas laisser vide ; indiquer “sans objet” si le point ne concerne pas le dossier.</w:t>
      </w:r>
    </w:p>
    <w:p>
      <w:pPr>
        <w:pStyle w:val="ListBullet"/>
      </w:pPr>
      <w:r>
        <w:t>Contraintes : ne pas laisser vide ; indiquer “sans objet” si le point ne concerne pas le dossier.</w:t>
      </w:r>
    </w:p>
    <w:p>
      <w:pPr>
        <w:pStyle w:val="ListBullet"/>
      </w:pPr>
      <w:r>
        <w:t>Planning : ne pas laisser vide ; indiquer “sans objet” si le point ne concerne pas le dossier.</w:t>
      </w:r>
    </w:p>
    <w:p>
      <w:pPr>
        <w:pStyle w:val="ListBullet"/>
      </w:pPr>
      <w:r>
        <w:t>Critères de validation : ne pas laisser vide ; indiquer “sans objet” si le point ne concerne pas le dossier.</w:t>
      </w:r>
    </w:p>
    <w:p>
      <w:pPr>
        <w:pStyle w:val="ListBullet"/>
      </w:pPr>
      <w:r>
        <w:t>Interlocuteurs : ne pas laisser vide ; indiquer “sans objet” si le point ne concerne pas le dossier.</w:t>
      </w:r>
    </w:p>
    <w:p>
      <w:pPr>
        <w:pStyle w:val="ListBullet"/>
      </w:pPr>
      <w:r>
        <w:t>Annexes : ne pas laisser vide ; indiquer “sans objet” si le point ne concerne pas le dossier.</w:t>
      </w:r>
    </w:p>
    <w:p>
      <w:r>
        <w:rPr>
          <w:b w:val="0"/>
          <w:i/>
        </w:rPr>
        <w:t>La version complète ajoute une logique de preuve : chaque obligation importante doit pouvoir être reliée à une date, un montant, une pièce, un échange ou une annexe signée.</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Préambule et contexte</w:t>
      </w:r>
    </w:p>
    <w:p>
      <w:r>
        <w:rPr>
          <w:b w:val="0"/>
          <w:i w:val="0"/>
        </w:rPr>
        <w:t>Les parties souhaitent utiliser le présent modèle de Cahier des charges afin d’encadrer leur relation par écrit.</w:t>
      </w:r>
    </w:p>
    <w:p>
      <w:r>
        <w:rPr>
          <w:b w:val="0"/>
          <w:i w:val="0"/>
        </w:rPr>
        <w:t>Le préambule doit rappeler le contexte réel : échanges préalables, devis, annonce, offre, état du bien, besoins exprimés ou documents transmis.</w:t>
      </w:r>
    </w:p>
    <w:p>
      <w:pPr>
        <w:pStyle w:val="ListBullet"/>
      </w:pPr>
      <w:r>
        <w:t>En cas de contradiction, les parties doivent indiquer quels documents prévalent : contrat signé, annexes, devis, conditions particulières, échanges validés.</w:t>
      </w:r>
    </w:p>
    <w:p>
      <w:pPr>
        <w:pStyle w:val="Heading2"/>
      </w:pPr>
      <w:r>
        <w:rPr>
          <w:b w:val="0"/>
          <w:i w:val="0"/>
        </w:rPr>
        <w:t>Article 3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4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5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6 — Mission, livrables, recette et validation</w:t>
      </w:r>
    </w:p>
    <w:p>
      <w:r>
        <w:rPr>
          <w:b w:val="0"/>
          <w:i w:val="0"/>
        </w:rPr>
        <w:t>Les livrables attendus sont : [LIVRABLES]. Les exclusions sont : [EXCLUSIONS].</w:t>
      </w:r>
    </w:p>
    <w:p>
      <w:r>
        <w:rPr>
          <w:b w:val="0"/>
          <w:i w:val="0"/>
        </w:rPr>
        <w:t>Prévoir un calendrier, des jalons, un interlocuteur responsable, des critères de recette, un délai de correction et une procédure de validation écrite.</w:t>
      </w:r>
    </w:p>
    <w:p>
      <w:pPr>
        <w:pStyle w:val="ListBullet"/>
      </w:pPr>
      <w:r>
        <w:t>Pour les prestations numériques, préciser les accès, fichiers sources, hébergement, sécurité, données personnelles, sauvegardes et réversibilité.</w:t>
      </w:r>
    </w:p>
    <w:p>
      <w:pPr>
        <w:pStyle w:val="Heading2"/>
      </w:pPr>
      <w:r>
        <w:rPr>
          <w:b w:val="0"/>
          <w:i w:val="0"/>
        </w:rPr>
        <w:t>Article 7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8 — Confidentialité, données et droits</w:t>
      </w:r>
    </w:p>
    <w:p>
      <w:r>
        <w:rPr>
          <w:b w:val="0"/>
          <w:i w:val="0"/>
        </w:rPr>
        <w:t>Les informations non publiques échangées dans le cadre du document doivent rester confidentielles, sauf accord écrit ou obligation légale.</w:t>
      </w:r>
    </w:p>
    <w:p>
      <w:r>
        <w:rPr>
          <w:b w:val="0"/>
          <w:i w:val="0"/>
        </w:rPr>
        <w:t>Si des données personnelles, créations, fichiers, marques, photos, codes, supports ou documents professionnels sont concernés, préciser les droits accordés, leur durée, leur territoire, les limites et les restitutions.</w:t>
      </w:r>
    </w:p>
    <w:p>
      <w:pPr>
        <w:pStyle w:val="Heading2"/>
      </w:pPr>
      <w:r>
        <w:rPr>
          <w:b w:val="0"/>
          <w:i w:val="0"/>
        </w:rPr>
        <w:t>Article 9 — Responsabilité, assurance et limites</w:t>
      </w:r>
    </w:p>
    <w:p>
      <w:r>
        <w:rPr>
          <w:b w:val="0"/>
          <w:i w:val="0"/>
        </w:rPr>
        <w:t>Chaque partie répond des engagements qu’elle accepte expressément. Les limitations de responsabilité doivent être cohérentes avec le type de contrat et ne pas contredire les obligations essentielles.</w:t>
      </w:r>
    </w:p>
    <w:p>
      <w:r>
        <w:rPr>
          <w:b w:val="0"/>
          <w:i w:val="0"/>
        </w:rPr>
        <w:t>Indiquer les assurances utiles, garanties remises, exclusions connues, cas de force majeure et procédures de signalement.</w:t>
      </w:r>
    </w:p>
    <w:p>
      <w:pPr>
        <w:pStyle w:val="Heading2"/>
      </w:pPr>
      <w:r>
        <w:rPr>
          <w:b w:val="0"/>
          <w:i w:val="0"/>
        </w:rPr>
        <w:t>Article 10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11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12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cahier des charges gratuit — pro</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