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avenant au contrat de travail gratuit</w:t>
      </w:r>
    </w:p>
    <w:p>
      <w:r>
        <w:rPr>
          <w:b/>
          <w:i w:val="0"/>
          <w:color w:val="0B2D57"/>
        </w:rPr>
        <w:t>Version complète — France — clauses renforcées et annexes à adapter</w:t>
      </w:r>
    </w:p>
    <w:p>
      <w:r>
        <w:rPr>
          <w:b w:val="0"/>
          <w:i/>
        </w:rPr>
        <w:t>Utiliser pour modifier un élément du contrat de travail avec accord des parties.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Avenant au contrat de travail</w:t>
            </w:r>
          </w:p>
        </w:tc>
      </w:tr>
      <w:tr>
        <w:tc>
          <w:tcPr>
            <w:tcW w:type="dxa" w:w="5112"/>
            <w:vAlign w:val="center"/>
            <w:shd w:fill="EEF4FF"/>
          </w:tcPr>
          <w:p>
            <w:r>
              <w:t>Utilisation prévue</w:t>
            </w:r>
          </w:p>
        </w:tc>
        <w:tc>
          <w:tcPr>
            <w:tcW w:type="dxa" w:w="5112"/>
            <w:vAlign w:val="center"/>
          </w:tcPr>
          <w:p>
            <w:r>
              <w:t>Utiliser pour modifier un élément du contrat de travail avec accord des parties.</w:t>
            </w:r>
          </w:p>
        </w:tc>
      </w:tr>
      <w:tr>
        <w:tc>
          <w:tcPr>
            <w:tcW w:type="dxa" w:w="5112"/>
            <w:vAlign w:val="center"/>
            <w:shd w:fill="EEF4FF"/>
          </w:tcPr>
          <w:p>
            <w:r>
              <w:t>À éviter</w:t>
            </w:r>
          </w:p>
        </w:tc>
        <w:tc>
          <w:tcPr>
            <w:tcW w:type="dxa" w:w="5112"/>
            <w:vAlign w:val="center"/>
          </w:tcPr>
          <w:p>
            <w:r>
              <w:t>Ne pas utiliser pour modifier unilatéralement un élément essentiel.</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Avenant au contrat de travail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Avenant au contrat de travail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avenant au contrat de travail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