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d’agent commercial gratuit</w:t>
      </w:r>
    </w:p>
    <w:p>
      <w:r>
        <w:rPr>
          <w:b/>
          <w:i w:val="0"/>
          <w:color w:val="0B2D57"/>
        </w:rPr>
        <w:t>Version complète — France — clauses renforcées et annexes à adapter</w:t>
      </w:r>
    </w:p>
    <w:p>
      <w:r>
        <w:rPr>
          <w:b w:val="0"/>
          <w:i/>
        </w:rPr>
        <w:t>Utiliser pour confier durablement la négociation et éventuellement la conclusion de contrats.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d’agent commercial</w:t>
            </w:r>
          </w:p>
        </w:tc>
      </w:tr>
      <w:tr>
        <w:tc>
          <w:tcPr>
            <w:tcW w:type="dxa" w:w="5112"/>
            <w:vAlign w:val="center"/>
            <w:shd w:fill="EEF4FF"/>
          </w:tcPr>
          <w:p>
            <w:r>
              <w:t>Utilisation prévue</w:t>
            </w:r>
          </w:p>
        </w:tc>
        <w:tc>
          <w:tcPr>
            <w:tcW w:type="dxa" w:w="5112"/>
            <w:vAlign w:val="center"/>
          </w:tcPr>
          <w:p>
            <w:r>
              <w:t>Utiliser pour confier durablement la négociation et éventuellement la conclusion de contrats.</w:t>
            </w:r>
          </w:p>
        </w:tc>
      </w:tr>
      <w:tr>
        <w:tc>
          <w:tcPr>
            <w:tcW w:type="dxa" w:w="5112"/>
            <w:vAlign w:val="center"/>
            <w:shd w:fill="EEF4FF"/>
          </w:tcPr>
          <w:p>
            <w:r>
              <w:t>À éviter</w:t>
            </w:r>
          </w:p>
        </w:tc>
        <w:tc>
          <w:tcPr>
            <w:tcW w:type="dxa" w:w="5112"/>
            <w:vAlign w:val="center"/>
          </w:tcPr>
          <w:p>
            <w:r>
              <w:t>À éviter si le statut réel ne correspond pas aux missions confiées.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d’agent commercial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d’agent commercial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d’agent commercial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